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51"/>
        <w:jc w:val="both"/>
        <w:rPr>
          <w:b/>
          <w:color w:val="006600"/>
          <w:sz w:val="28"/>
          <w:szCs w:val="28"/>
        </w:rPr>
      </w:pPr>
      <w:r>
        <w:rPr>
          <w:b/>
          <w:color w:val="006600"/>
          <w:sz w:val="28"/>
          <w:szCs w:val="28"/>
        </w:rPr>
        <w:t>Анализ образовательно-воспитательного процесса</w:t>
      </w:r>
      <w:r>
        <w:rPr>
          <w:color w:val="006600"/>
          <w:sz w:val="28"/>
          <w:szCs w:val="28"/>
        </w:rPr>
        <w:t xml:space="preserve">, </w:t>
      </w:r>
      <w:r>
        <w:rPr>
          <w:b/>
          <w:color w:val="006600"/>
          <w:sz w:val="28"/>
          <w:szCs w:val="28"/>
        </w:rPr>
        <w:t>уровня развития детей дошкольного возраста с 01.09.2022 по 15.02.2023гг.</w:t>
      </w:r>
    </w:p>
    <w:p>
      <w:pPr>
        <w:ind w:firstLine="851"/>
        <w:jc w:val="both"/>
        <w:rPr>
          <w:color w:val="7B2368"/>
        </w:rPr>
      </w:pPr>
    </w:p>
    <w:p>
      <w:pPr>
        <w:ind w:firstLine="851"/>
        <w:jc w:val="both"/>
      </w:pPr>
      <w:r>
        <w:t>Учебно-воспитательный процесс в 2022-2023 учебном году (сентябрь-февраль) был направлен на эффективное достижение результатов посредством реализации и развития образовательных способностей каждого ребенка. Коллектив педагогов отрабатывал технологию учебного процесса в двух направлениях:</w:t>
      </w:r>
    </w:p>
    <w:p>
      <w:pPr>
        <w:ind w:firstLine="851"/>
        <w:jc w:val="both"/>
      </w:pPr>
      <w:r>
        <w:t>1.</w:t>
      </w:r>
      <w:r>
        <w:tab/>
      </w:r>
      <w:r>
        <w:t>Традиционное обучение, где обновление учебного процесса направлено на такую организацию, при которой дети способны полностью усвоить необходимый учебный материал. Для этого составлен перечень конкретных результатов обучения.</w:t>
      </w:r>
    </w:p>
    <w:p>
      <w:pPr>
        <w:ind w:firstLine="851"/>
        <w:jc w:val="both"/>
      </w:pPr>
      <w:r>
        <w:t>2.</w:t>
      </w:r>
      <w:r>
        <w:tab/>
      </w:r>
      <w:r>
        <w:t>Инновационные технологии, которые направлены на развитие познавательных способностей каждого ребенка. С этим направлением связаны технологии развивающего обучения, разработка и внедрение нетрадиционных форм занятий познавательно-исследовательской деятельности детей, занятия-путешествия, занятия – сказки, викторины и др.</w:t>
      </w:r>
    </w:p>
    <w:p>
      <w:pPr>
        <w:ind w:firstLine="851"/>
        <w:jc w:val="both"/>
      </w:pPr>
      <w:r>
        <w:t>Количество и продолжительность занятий определяется Санитарно-эпидемиологическими требованиями к устройству, содержанию и организации режима работы дошкольных образовательных учреждений.</w:t>
      </w:r>
    </w:p>
    <w:p>
      <w:pPr>
        <w:ind w:firstLine="851"/>
        <w:jc w:val="both"/>
      </w:pPr>
      <w:r>
        <w:t xml:space="preserve">Уже традиционно организуются и  проводятся  в МБДОУ № 46 тематические дни и недели. В рамках этих недель для ребят организовывались выставки, музыкальные и спортивные развлечения. Особенно хочется отметить хорошую подготовку и проведение таких </w:t>
      </w:r>
      <w:r>
        <w:rPr>
          <w:lang w:val="ru-RU"/>
        </w:rPr>
        <w:t>очных</w:t>
      </w:r>
      <w:r>
        <w:rPr>
          <w:rFonts w:hint="default"/>
          <w:lang w:val="ru-RU"/>
        </w:rPr>
        <w:t xml:space="preserve"> </w:t>
      </w:r>
      <w:r>
        <w:t xml:space="preserve">мероприятий </w:t>
      </w:r>
      <w:r>
        <w:rPr>
          <w:lang w:val="ru-RU"/>
        </w:rPr>
        <w:t>и</w:t>
      </w:r>
      <w:r>
        <w:rPr>
          <w:rFonts w:hint="default"/>
          <w:lang w:val="ru-RU"/>
        </w:rPr>
        <w:t xml:space="preserve"> в онлайн режиме </w:t>
      </w:r>
      <w:r>
        <w:t>к</w:t>
      </w:r>
      <w:r>
        <w:rPr>
          <w:lang w:val="ru-RU"/>
        </w:rPr>
        <w:t>ак</w:t>
      </w:r>
      <w:r>
        <w:rPr>
          <w:rFonts w:hint="default"/>
          <w:lang w:val="ru-RU"/>
        </w:rPr>
        <w:t xml:space="preserve"> «День Знаний»,  </w:t>
      </w:r>
      <w:r>
        <w:t xml:space="preserve">«День освобождения Донбасса», </w:t>
      </w:r>
      <w:r>
        <w:rPr>
          <w:rFonts w:hint="default"/>
          <w:lang w:val="ru-RU"/>
        </w:rPr>
        <w:t>«Широкая Масленица»,</w:t>
      </w:r>
      <w:r>
        <w:t xml:space="preserve"> «День защитника Отечества», «Музыкально-поэтическая гостиная». Причем, в этих мероприятиях участвовали не только дети, но и родители, что делало </w:t>
      </w:r>
      <w:r>
        <w:rPr>
          <w:lang w:val="ru-RU"/>
        </w:rPr>
        <w:t>их</w:t>
      </w:r>
      <w:r>
        <w:rPr>
          <w:rFonts w:hint="default"/>
          <w:lang w:val="ru-RU"/>
        </w:rPr>
        <w:t xml:space="preserve"> </w:t>
      </w:r>
      <w:r>
        <w:t>яркими, запоминающимися. Тематические мероприятия способствовали формированию нравственных качеств дошкольников, повышению нравственной культуры детей дошкольного возраста, развитию толерантности, эмпатии, формированию ориентации детей на духовно – нравственные ценности, воспитание гражданственности, патриотизма, воспитание нравственных чувств и этического сознания, через семью, друзей и окружающую среду.</w:t>
      </w:r>
    </w:p>
    <w:p>
      <w:pPr>
        <w:ind w:firstLine="851"/>
        <w:jc w:val="both"/>
        <w:rPr>
          <w:color w:val="000000"/>
        </w:rPr>
      </w:pPr>
      <w:r>
        <w:rPr>
          <w:color w:val="000000"/>
        </w:rPr>
        <w:t xml:space="preserve">С целью повышения качества работы для достижения более высоких результатов развития воспитанников является организация педагогами образовательного процесса на диагностической основе.  </w:t>
      </w:r>
    </w:p>
    <w:p>
      <w:pPr>
        <w:ind w:firstLine="851"/>
        <w:jc w:val="both"/>
        <w:rPr>
          <w:color w:val="000000"/>
        </w:rPr>
      </w:pPr>
      <w:r>
        <w:rPr>
          <w:color w:val="000000"/>
        </w:rPr>
        <w:t>Для выявления результативности работы педагогов по усвоению воспитанниками образовательной программы, согласно приказа по МБДОУ «ЯСЛИ-САД № 46 Г. ДОНЕЦКА»  «О проведении входящей диагностики индивидуального развития детей», была организованна и проведена входящая диагностика. Проводилась она во всех  возрастных группах, согласно методическим рекомендациям (приказ МОН ДНР от 11 августа 2017 года №823). На каждого воспитанника заполнялись индивидуальные карты развития, которые включали в себя основные показатели развития ребёнка в динамике. В их заполнении использовалась трехбалльная шкала оценок, где каждая качественная характеристика соответствует уровню проявления показателя:</w:t>
      </w:r>
    </w:p>
    <w:p>
      <w:pPr>
        <w:ind w:firstLine="851"/>
        <w:jc w:val="both"/>
        <w:rPr>
          <w:color w:val="000000"/>
        </w:rPr>
      </w:pPr>
      <w:r>
        <w:rPr>
          <w:color w:val="000000"/>
        </w:rPr>
        <w:t>3 балла – сформировано (С);</w:t>
      </w:r>
    </w:p>
    <w:p>
      <w:pPr>
        <w:ind w:firstLine="851"/>
        <w:jc w:val="both"/>
        <w:rPr>
          <w:color w:val="000000"/>
        </w:rPr>
      </w:pPr>
      <w:r>
        <w:rPr>
          <w:color w:val="000000"/>
        </w:rPr>
        <w:t>2 балла – достаточно сформировано (Д);</w:t>
      </w:r>
    </w:p>
    <w:p>
      <w:pPr>
        <w:ind w:firstLine="851"/>
        <w:jc w:val="both"/>
        <w:rPr>
          <w:color w:val="000000"/>
        </w:rPr>
      </w:pPr>
      <w:r>
        <w:rPr>
          <w:color w:val="000000"/>
        </w:rPr>
        <w:t>1балл – частично сформировано – (Ч);</w:t>
      </w:r>
    </w:p>
    <w:p>
      <w:pPr>
        <w:ind w:firstLine="851"/>
        <w:jc w:val="both"/>
        <w:rPr>
          <w:color w:val="000000"/>
        </w:rPr>
      </w:pPr>
      <w:r>
        <w:rPr>
          <w:color w:val="000000"/>
        </w:rPr>
        <w:t>0 баллов – не сформировано (Н)</w:t>
      </w:r>
    </w:p>
    <w:p>
      <w:pPr>
        <w:ind w:firstLine="851"/>
        <w:jc w:val="both"/>
        <w:rPr>
          <w:color w:val="000000"/>
        </w:rPr>
      </w:pPr>
      <w:r>
        <w:rPr>
          <w:color w:val="000000"/>
        </w:rPr>
        <w:t xml:space="preserve"> Старшим воспитателем Хохловой Ю.И. была оказана педагогам  консультационная помощь по организации и проведению диагностики Подготовлены протоколы. Молодым специалистам была оказана методическая поддержка, проведена работа по повышению их профессионального уровня в данном направлении.</w:t>
      </w:r>
    </w:p>
    <w:p>
      <w:pPr>
        <w:ind w:firstLine="851"/>
        <w:jc w:val="both"/>
        <w:rPr>
          <w:color w:val="000000"/>
        </w:rPr>
      </w:pPr>
      <w:r>
        <w:rPr>
          <w:color w:val="000000"/>
        </w:rPr>
        <w:t xml:space="preserve">     В сентябре месяце </w:t>
      </w:r>
      <w:r>
        <w:rPr>
          <w:rFonts w:hint="default"/>
          <w:color w:val="000000"/>
          <w:lang w:val="ru-RU"/>
        </w:rPr>
        <w:t>6</w:t>
      </w:r>
      <w:r>
        <w:rPr>
          <w:color w:val="000000"/>
        </w:rPr>
        <w:t xml:space="preserve">5 детей прошли диагностику, что составило 82% от общего списочного состава. Общий показатель входящей диагностики индивидуального развития детей свидетельствовал о том, что в дошкольном учреждении на начало года большинство воспитанников имели достаточный (44%)  и частично сформированный(33%) уровень  знаний. Количество воспитанников с несформированным уровнем составило на начало года - 10%. </w:t>
      </w:r>
    </w:p>
    <w:p>
      <w:pPr>
        <w:ind w:firstLine="851"/>
        <w:jc w:val="both"/>
        <w:rPr>
          <w:color w:val="000000"/>
        </w:rPr>
      </w:pPr>
      <w:r>
        <w:rPr>
          <w:color w:val="000000"/>
        </w:rPr>
        <w:t xml:space="preserve">    По результатам диагностики была составлена аналитическая справка с рекомендациями по повышению результативности усвоения детьми образовательной программы, издан итоговый приказ «Об итогах входной диагностики индивидуального развития детей МБДОУ «ЯСЛИ-САД № 46 Г. ДОНЕЦКА». Согласно рекомендациям, педагоги организовывали с детьми, показавшими низкий уровень, индивидуальную работу, активизировали их на занятиях, в игровой деятельности развивали психические процессы. Со стороны старшего воспитателя осуществлялся контроль планирования работы по данному направлению в планах учебно-воспитательного процесса у воспитателей. Выявленных нарушений не было.</w:t>
      </w:r>
    </w:p>
    <w:p>
      <w:pPr>
        <w:ind w:firstLine="851"/>
        <w:jc w:val="both"/>
        <w:rPr>
          <w:color w:val="000000"/>
        </w:rPr>
      </w:pPr>
      <w:r>
        <w:rPr>
          <w:color w:val="000000"/>
        </w:rPr>
        <w:t>Согласно приказу «О проведении промежуточной  диагностики индивидуального развития детей»  в МБДОУ «ЯСЛИ-САД № 46 Г. ДОНЕЦКА в январе 2023г. была проведена промежуточная диагностика.</w:t>
      </w:r>
    </w:p>
    <w:p>
      <w:pPr>
        <w:ind w:firstLine="851"/>
        <w:jc w:val="both"/>
        <w:rPr>
          <w:color w:val="000000"/>
        </w:rPr>
      </w:pPr>
      <w:r>
        <w:rPr>
          <w:color w:val="000000"/>
        </w:rPr>
        <w:t xml:space="preserve"> Анализ образовательно-воспитательного процесса, уровня развития детей дошкольного возраста за отчетный период показал, что дети с интересом воспринимают информацию, уровень развития дошкольников в целом соответствует требованиям программы. У  детей развит уровень вербального развития, дети умеют различать в речевом потоке отдельные слова, слышат звуки в слове, составляют из звуков слоги и слова, овладели фонематической системой языка, что  имеет значение для усвоения грамматики и синтаксиса. В развитии мелкой моторики у детей наметился положительный сдвиг (овладели элементами написания букв, цифр, различными техниками рисования), чему способствовали систематические занятия по изобразительной деятельности и художественному труду. Но некоторые дети нуждаются в дополнительной работе с логопедом и индивидуальных занятиях по развитию мелких мышц руки (опрятности и четкости при выполнении раскрасок).</w:t>
      </w:r>
    </w:p>
    <w:p>
      <w:pPr>
        <w:ind w:firstLine="851"/>
        <w:jc w:val="both"/>
        <w:rPr>
          <w:color w:val="000000"/>
        </w:rPr>
      </w:pPr>
      <w:r>
        <w:rPr>
          <w:color w:val="000000"/>
        </w:rPr>
        <w:t>Проведена оценка эффективности, используемых воспитателями методов и приемов работы с детьми с целью решения проблемы по воспитанию, развитию и обучению детей, оценка развивающей предметной среды, условия для организации детской деятельности, направленной на речевое развитие ребенка. Проведен анализ календарного планирования, который выявил проблемы планирования индивидуальной работы с детьми. Вместе с тем было отмечено, что  дети имеют достаточный активный словарь, легко вступают в диалог со сверстниками и взрослыми. Однако не все направления в работе с детьми имели достаточный успех.</w:t>
      </w:r>
    </w:p>
    <w:p>
      <w:pPr>
        <w:ind w:firstLine="851"/>
        <w:jc w:val="both"/>
        <w:rPr>
          <w:color w:val="000000"/>
        </w:rPr>
      </w:pPr>
      <w:r>
        <w:rPr>
          <w:color w:val="000000"/>
        </w:rPr>
        <w:t xml:space="preserve">Педагогическая диагностика проводилась на основании: </w:t>
      </w:r>
    </w:p>
    <w:p>
      <w:pPr>
        <w:jc w:val="both"/>
      </w:pPr>
      <w:r>
        <w:t>«Мониторинга  в дошкольной образовательной организации по результатам освоения Типовой образовательной программы «Растим личность»</w:t>
      </w:r>
    </w:p>
    <w:p>
      <w:pPr>
        <w:ind w:firstLine="851"/>
        <w:jc w:val="both"/>
        <w:rPr>
          <w:color w:val="000000"/>
        </w:rPr>
      </w:pPr>
      <w:r>
        <w:rPr>
          <w:color w:val="000000"/>
        </w:rPr>
        <w:t xml:space="preserve">Результаты педагогической диагностики  используются  педагогами исключительно для решения образовательных задач. </w:t>
      </w:r>
    </w:p>
    <w:p>
      <w:pPr>
        <w:ind w:firstLine="851"/>
        <w:jc w:val="both"/>
        <w:rPr>
          <w:color w:val="000000"/>
        </w:rPr>
      </w:pPr>
      <w:r>
        <w:rPr>
          <w:color w:val="000000"/>
        </w:rPr>
        <w:t>Анализ освоения программного материала воспитанниками по образовательным областям, дает возможность   выявить средний показатель и  выстроить следующий рейтинговый порядок:</w:t>
      </w:r>
    </w:p>
    <w:p>
      <w:pPr>
        <w:ind w:firstLine="851"/>
        <w:jc w:val="both"/>
        <w:rPr>
          <w:color w:val="000000"/>
        </w:rPr>
      </w:pPr>
    </w:p>
    <w:p>
      <w:pPr>
        <w:ind w:firstLine="720"/>
        <w:jc w:val="both"/>
        <w:rPr>
          <w:color w:val="000000"/>
        </w:rPr>
      </w:pPr>
      <w:r>
        <w:rPr>
          <w:color w:val="000000"/>
        </w:rPr>
        <w:drawing>
          <wp:inline distT="0" distB="0" distL="0" distR="0">
            <wp:extent cx="4206240" cy="1263650"/>
            <wp:effectExtent l="0" t="0" r="0" b="1270"/>
            <wp:docPr id="27" name="Диаграмма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>
      <w:pPr>
        <w:jc w:val="both"/>
      </w:pPr>
    </w:p>
    <w:p>
      <w:pPr>
        <w:ind w:firstLine="851"/>
        <w:jc w:val="both"/>
      </w:pPr>
      <w:r>
        <w:t>Воспитателями всех дошкольных групп планировали трижды в год провести  диагностическое обследование детей дошкольного возраста (сентябрь, январь, апрель).  Мониторинг развития детей и усвоения образовательных областей программы «Растим личность» проведен дважды в сентябре 2022г. и в январе 2023г.)</w:t>
      </w:r>
    </w:p>
    <w:p>
      <w:pPr>
        <w:jc w:val="both"/>
      </w:pPr>
    </w:p>
    <w:p>
      <w:pPr>
        <w:jc w:val="both"/>
      </w:pPr>
    </w:p>
    <w:p>
      <w:pPr>
        <w:jc w:val="center"/>
        <w:textAlignment w:val="bottom"/>
        <w:rPr>
          <w:b/>
          <w:color w:val="auto"/>
        </w:rPr>
      </w:pPr>
      <w:r>
        <w:rPr>
          <w:b/>
          <w:color w:val="auto"/>
        </w:rPr>
        <w:t>Сводный мониторинг уровня развития воспитанников МБДОУ № 46</w:t>
      </w:r>
    </w:p>
    <w:p>
      <w:pPr>
        <w:jc w:val="center"/>
        <w:textAlignment w:val="bottom"/>
        <w:rPr>
          <w:b/>
          <w:color w:val="auto"/>
        </w:rPr>
      </w:pPr>
      <w:r>
        <w:rPr>
          <w:b/>
          <w:color w:val="auto"/>
        </w:rPr>
        <w:t>на январь  202</w:t>
      </w:r>
      <w:r>
        <w:rPr>
          <w:rFonts w:hint="default"/>
          <w:b/>
          <w:color w:val="auto"/>
          <w:lang w:val="ru-RU"/>
        </w:rPr>
        <w:t>3</w:t>
      </w:r>
      <w:bookmarkStart w:id="0" w:name="_GoBack"/>
      <w:bookmarkEnd w:id="0"/>
      <w:r>
        <w:rPr>
          <w:rFonts w:hint="default"/>
          <w:b/>
          <w:color w:val="auto"/>
          <w:lang w:val="ru-RU"/>
        </w:rPr>
        <w:t xml:space="preserve"> </w:t>
      </w:r>
      <w:r>
        <w:rPr>
          <w:b/>
          <w:color w:val="auto"/>
        </w:rPr>
        <w:t>учебного года</w:t>
      </w:r>
    </w:p>
    <w:tbl>
      <w:tblPr>
        <w:tblStyle w:val="3"/>
        <w:tblpPr w:leftFromText="180" w:rightFromText="180" w:vertAnchor="text" w:horzAnchor="margin" w:tblpY="50"/>
        <w:tblW w:w="9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567"/>
        <w:gridCol w:w="851"/>
        <w:gridCol w:w="567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1951" w:type="dxa"/>
            <w:vMerge w:val="restart"/>
            <w:shd w:val="clear" w:color="auto" w:fill="E3FFC1"/>
          </w:tcPr>
          <w:p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Возрастная </w:t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vMerge w:val="restart"/>
            <w:shd w:val="clear" w:color="auto" w:fill="E3FFC1"/>
          </w:tcPr>
          <w:p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Списочный состав</w:t>
            </w:r>
          </w:p>
        </w:tc>
        <w:tc>
          <w:tcPr>
            <w:tcW w:w="851" w:type="dxa"/>
            <w:vMerge w:val="restart"/>
            <w:shd w:val="clear" w:color="auto" w:fill="E3FFC1"/>
          </w:tcPr>
          <w:p>
            <w:pPr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Количество детей, прошедших пед.</w:t>
            </w:r>
          </w:p>
          <w:p>
            <w:pPr>
              <w:rPr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мониторинг</w:t>
            </w:r>
          </w:p>
        </w:tc>
        <w:tc>
          <w:tcPr>
            <w:tcW w:w="6595" w:type="dxa"/>
            <w:gridSpan w:val="15"/>
            <w:shd w:val="clear" w:color="auto" w:fill="E3FFC1"/>
          </w:tcPr>
          <w:p>
            <w:pPr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ОБРАЗОВАТЕЛЬНЫЕ ОБЛАСТИ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951" w:type="dxa"/>
            <w:vMerge w:val="continue"/>
            <w:shd w:val="clear" w:color="auto" w:fill="E3FFC1"/>
          </w:tcPr>
          <w:p>
            <w:pPr>
              <w:jc w:val="center"/>
              <w:textAlignment w:val="bottom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567" w:type="dxa"/>
            <w:vMerge w:val="continue"/>
            <w:shd w:val="clear" w:color="auto" w:fill="E3FFC1"/>
          </w:tcPr>
          <w:p>
            <w:pPr>
              <w:jc w:val="center"/>
              <w:textAlignment w:val="bottom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51" w:type="dxa"/>
            <w:vMerge w:val="continue"/>
            <w:shd w:val="clear" w:color="auto" w:fill="E3FFC1"/>
          </w:tcPr>
          <w:p>
            <w:pPr>
              <w:jc w:val="center"/>
              <w:textAlignment w:val="bottom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E3FFC1"/>
          </w:tcPr>
          <w:p>
            <w:pPr>
              <w:jc w:val="center"/>
              <w:textAlignment w:val="bottom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Социально- коммуникатив</w:t>
            </w:r>
          </w:p>
          <w:p>
            <w:pPr>
              <w:jc w:val="center"/>
              <w:textAlignment w:val="bottom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ное развитие</w:t>
            </w:r>
          </w:p>
        </w:tc>
        <w:tc>
          <w:tcPr>
            <w:tcW w:w="1276" w:type="dxa"/>
            <w:gridSpan w:val="3"/>
            <w:shd w:val="clear" w:color="auto" w:fill="E3FFC1"/>
          </w:tcPr>
          <w:p>
            <w:pPr>
              <w:jc w:val="center"/>
              <w:textAlignment w:val="bottom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Познаватель</w:t>
            </w:r>
          </w:p>
          <w:p>
            <w:pPr>
              <w:jc w:val="center"/>
              <w:textAlignment w:val="bottom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ное развитие</w:t>
            </w:r>
          </w:p>
          <w:p>
            <w:pPr>
              <w:jc w:val="center"/>
              <w:textAlignment w:val="bottom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E3FFC1"/>
          </w:tcPr>
          <w:p>
            <w:pPr>
              <w:jc w:val="center"/>
              <w:textAlignment w:val="bottom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Речевое развитие</w:t>
            </w:r>
          </w:p>
          <w:p>
            <w:pPr>
              <w:jc w:val="center"/>
              <w:textAlignment w:val="bottom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shd w:val="clear" w:color="auto" w:fill="E3FFC1"/>
          </w:tcPr>
          <w:p>
            <w:pPr>
              <w:jc w:val="center"/>
              <w:textAlignment w:val="bottom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Художественно-</w:t>
            </w:r>
          </w:p>
          <w:p>
            <w:pPr>
              <w:jc w:val="center"/>
              <w:textAlignment w:val="bottom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эстетическое</w:t>
            </w:r>
          </w:p>
          <w:p>
            <w:pPr>
              <w:jc w:val="center"/>
              <w:textAlignment w:val="bottom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развитие</w:t>
            </w:r>
          </w:p>
        </w:tc>
        <w:tc>
          <w:tcPr>
            <w:tcW w:w="1209" w:type="dxa"/>
            <w:gridSpan w:val="3"/>
            <w:shd w:val="clear" w:color="auto" w:fill="E3FFC1"/>
          </w:tcPr>
          <w:p>
            <w:pPr>
              <w:jc w:val="center"/>
              <w:textAlignment w:val="bottom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Физическое развитие</w:t>
            </w:r>
          </w:p>
          <w:p>
            <w:pPr>
              <w:jc w:val="center"/>
              <w:textAlignment w:val="bottom"/>
              <w:rPr>
                <w:b/>
                <w:color w:val="auto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1951" w:type="dxa"/>
            <w:vMerge w:val="continue"/>
            <w:tcBorders>
              <w:bottom w:val="single" w:color="auto" w:sz="4" w:space="0"/>
            </w:tcBorders>
            <w:shd w:val="clear" w:color="auto" w:fill="E3FFC1"/>
          </w:tcPr>
          <w:p>
            <w:pPr>
              <w:jc w:val="center"/>
              <w:textAlignment w:val="bottom"/>
              <w:rPr>
                <w:b/>
                <w:color w:val="FF0000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shd w:val="clear" w:color="auto" w:fill="E3FFC1"/>
          </w:tcPr>
          <w:p>
            <w:pPr>
              <w:jc w:val="center"/>
              <w:textAlignment w:val="bottom"/>
              <w:rPr>
                <w:b/>
                <w:color w:val="FF0000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shd w:val="clear" w:color="auto" w:fill="E3FFC1"/>
          </w:tcPr>
          <w:p>
            <w:pPr>
              <w:jc w:val="center"/>
              <w:textAlignment w:val="bottom"/>
              <w:rPr>
                <w:b/>
                <w:color w:val="FF0000"/>
              </w:rPr>
            </w:pP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E3FFC1"/>
          </w:tcPr>
          <w:p>
            <w:pPr>
              <w:jc w:val="center"/>
              <w:textAlignment w:val="bottom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E3FFC1"/>
          </w:tcPr>
          <w:p>
            <w:pPr>
              <w:jc w:val="center"/>
              <w:textAlignment w:val="bottom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E3FFC1"/>
          </w:tcPr>
          <w:p>
            <w:pPr>
              <w:jc w:val="center"/>
              <w:textAlignment w:val="bottom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н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E3FFC1"/>
          </w:tcPr>
          <w:p>
            <w:pPr>
              <w:jc w:val="center"/>
              <w:textAlignment w:val="bottom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E3FFC1"/>
          </w:tcPr>
          <w:p>
            <w:pPr>
              <w:jc w:val="center"/>
              <w:textAlignment w:val="bottom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E3FFC1"/>
          </w:tcPr>
          <w:p>
            <w:pPr>
              <w:jc w:val="center"/>
              <w:textAlignment w:val="bottom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н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E3FFC1"/>
          </w:tcPr>
          <w:p>
            <w:pPr>
              <w:jc w:val="center"/>
              <w:textAlignment w:val="bottom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E3FFC1"/>
          </w:tcPr>
          <w:p>
            <w:pPr>
              <w:jc w:val="center"/>
              <w:textAlignment w:val="bottom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E3FFC1"/>
          </w:tcPr>
          <w:p>
            <w:pPr>
              <w:jc w:val="center"/>
              <w:textAlignment w:val="bottom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н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E3FFC1"/>
          </w:tcPr>
          <w:p>
            <w:pPr>
              <w:jc w:val="center"/>
              <w:textAlignment w:val="bottom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E3FFC1"/>
          </w:tcPr>
          <w:p>
            <w:pPr>
              <w:jc w:val="center"/>
              <w:textAlignment w:val="bottom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E3FFC1"/>
          </w:tcPr>
          <w:p>
            <w:pPr>
              <w:jc w:val="center"/>
              <w:textAlignment w:val="bottom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н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E3FFC1"/>
          </w:tcPr>
          <w:p>
            <w:pPr>
              <w:jc w:val="center"/>
              <w:textAlignment w:val="bottom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в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E3FFC1"/>
          </w:tcPr>
          <w:p>
            <w:pPr>
              <w:jc w:val="center"/>
              <w:textAlignment w:val="bottom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с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shd w:val="clear" w:color="auto" w:fill="E3FFC1"/>
          </w:tcPr>
          <w:p>
            <w:pPr>
              <w:jc w:val="center"/>
              <w:textAlignment w:val="bottom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951" w:type="dxa"/>
            <w:tcBorders>
              <w:bottom w:val="single" w:color="auto" w:sz="4" w:space="0"/>
            </w:tcBorders>
            <w:shd w:val="clear" w:color="auto" w:fill="FEE6F5"/>
          </w:tcPr>
          <w:p>
            <w:pPr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18"/>
                <w:szCs w:val="18"/>
              </w:rPr>
              <w:t>Группа раннего возраста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FEE6F5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FEE6F5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FEE6F5"/>
          </w:tcPr>
          <w:p>
            <w:pPr>
              <w:tabs>
                <w:tab w:val="center" w:pos="241"/>
              </w:tabs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EE6F5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EE6F5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EE6F5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FEE6F5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EE6F5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EE6F5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EE6F5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FEE6F5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EE6F5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EE6F5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FEE6F5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EE6F5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FEE6F5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shd w:val="clear" w:color="auto" w:fill="FEE6F5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1951" w:type="dxa"/>
            <w:shd w:val="clear" w:color="auto" w:fill="D6FEFC"/>
          </w:tcPr>
          <w:p>
            <w:pPr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 xml:space="preserve">1 </w:t>
            </w:r>
            <w:r>
              <w:rPr>
                <w:b/>
                <w:color w:val="000000"/>
                <w:sz w:val="18"/>
                <w:szCs w:val="18"/>
              </w:rPr>
              <w:t>Младшая  группа</w:t>
            </w:r>
          </w:p>
        </w:tc>
        <w:tc>
          <w:tcPr>
            <w:tcW w:w="567" w:type="dxa"/>
            <w:shd w:val="clear" w:color="auto" w:fill="D6FEFC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D6FEFC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6FEFC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6FEFC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shd w:val="clear" w:color="auto" w:fill="D6FEFC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D6FEFC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D6FEFC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6FEFC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D6FEFC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D6FEFC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shd w:val="clear" w:color="auto" w:fill="D6FEFC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6FEFC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D6FEFC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D6FEFC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D6FEFC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D6FEFC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58" w:type="dxa"/>
            <w:shd w:val="clear" w:color="auto" w:fill="D6FEFC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</w:trPr>
        <w:tc>
          <w:tcPr>
            <w:tcW w:w="1951" w:type="dxa"/>
            <w:shd w:val="clear" w:color="auto" w:fill="F5FEA0"/>
          </w:tcPr>
          <w:p>
            <w:pPr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 младшая группа</w:t>
            </w:r>
          </w:p>
        </w:tc>
        <w:tc>
          <w:tcPr>
            <w:tcW w:w="567" w:type="dxa"/>
            <w:shd w:val="clear" w:color="auto" w:fill="F5FEA0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shd w:val="clear" w:color="auto" w:fill="F5FEA0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shd w:val="clear" w:color="auto" w:fill="F5FEA0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5FEA0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shd w:val="clear" w:color="auto" w:fill="F5FEA0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shd w:val="clear" w:color="auto" w:fill="F5FEA0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6" w:type="dxa"/>
            <w:shd w:val="clear" w:color="auto" w:fill="F5FEA0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5FEA0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5FEA0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shd w:val="clear" w:color="auto" w:fill="F5FEA0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6" w:type="dxa"/>
            <w:shd w:val="clear" w:color="auto" w:fill="F5FEA0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shd w:val="clear" w:color="auto" w:fill="F5FEA0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5FEA0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shd w:val="clear" w:color="auto" w:fill="F5FEA0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5FEA0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  <w:shd w:val="clear" w:color="auto" w:fill="F5FEA0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58" w:type="dxa"/>
            <w:shd w:val="clear" w:color="auto" w:fill="F5FEA0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</w:trPr>
        <w:tc>
          <w:tcPr>
            <w:tcW w:w="1951" w:type="dxa"/>
            <w:tcBorders>
              <w:bottom w:val="single" w:color="auto" w:sz="4" w:space="0"/>
            </w:tcBorders>
            <w:shd w:val="clear" w:color="auto" w:fill="A4FEB3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Средняя  группа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4FEB3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A4FEB3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4FEB3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4FEB3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4FEB3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4FEB3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4FEB3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4FEB3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4FEB3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4FEB3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4FEB3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4FEB3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4FEB3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A4FEB3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A4FEB3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A4FEB3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shd w:val="clear" w:color="auto" w:fill="A4FEB3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951" w:type="dxa"/>
            <w:tcBorders>
              <w:bottom w:val="single" w:color="auto" w:sz="4" w:space="0"/>
            </w:tcBorders>
            <w:shd w:val="clear" w:color="auto" w:fill="F8E2D0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Стар.-подготовит. </w:t>
            </w:r>
          </w:p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F8E2D0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F8E2D0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F8E2D0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8E2D0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8E2D0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8E2D0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F8E2D0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8E2D0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8E2D0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8E2D0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F8E2D0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8E2D0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8E2D0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F8E2D0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F8E2D0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F8E2D0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shd w:val="clear" w:color="auto" w:fill="F8E2D0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951" w:type="dxa"/>
            <w:tcBorders>
              <w:bottom w:val="single" w:color="auto" w:sz="4" w:space="0"/>
            </w:tcBorders>
            <w:shd w:val="clear" w:color="auto" w:fill="CBBFFD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 по учреждению в %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CBBFFD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100%</w:t>
            </w:r>
          </w:p>
        </w:tc>
        <w:tc>
          <w:tcPr>
            <w:tcW w:w="851" w:type="dxa"/>
            <w:tcBorders>
              <w:bottom w:val="single" w:color="auto" w:sz="4" w:space="0"/>
            </w:tcBorders>
            <w:shd w:val="clear" w:color="auto" w:fill="CBBFFD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85%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CBBFFD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33%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CBBFFD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66%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CBBFFD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1%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CBBFFD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33%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CBBFFD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49%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CBBFFD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18%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CBBFFD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33%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CBBFFD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55%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CBBFFD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12%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CBBFFD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28%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CBBFFD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70%</w:t>
            </w:r>
          </w:p>
        </w:tc>
        <w:tc>
          <w:tcPr>
            <w:tcW w:w="567" w:type="dxa"/>
            <w:tcBorders>
              <w:bottom w:val="single" w:color="auto" w:sz="4" w:space="0"/>
            </w:tcBorders>
            <w:shd w:val="clear" w:color="auto" w:fill="CBBFFD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2%</w:t>
            </w:r>
          </w:p>
        </w:tc>
        <w:tc>
          <w:tcPr>
            <w:tcW w:w="425" w:type="dxa"/>
            <w:tcBorders>
              <w:bottom w:val="single" w:color="auto" w:sz="4" w:space="0"/>
            </w:tcBorders>
            <w:shd w:val="clear" w:color="auto" w:fill="CBBFFD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37%</w:t>
            </w:r>
          </w:p>
        </w:tc>
        <w:tc>
          <w:tcPr>
            <w:tcW w:w="426" w:type="dxa"/>
            <w:tcBorders>
              <w:bottom w:val="single" w:color="auto" w:sz="4" w:space="0"/>
            </w:tcBorders>
            <w:shd w:val="clear" w:color="auto" w:fill="CBBFFD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61%</w:t>
            </w:r>
          </w:p>
        </w:tc>
        <w:tc>
          <w:tcPr>
            <w:tcW w:w="358" w:type="dxa"/>
            <w:tcBorders>
              <w:bottom w:val="single" w:color="auto" w:sz="4" w:space="0"/>
            </w:tcBorders>
            <w:shd w:val="clear" w:color="auto" w:fill="CBBFFD"/>
          </w:tcPr>
          <w:p>
            <w:pPr>
              <w:jc w:val="center"/>
              <w:textAlignment w:val="bottom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</w:trPr>
        <w:tc>
          <w:tcPr>
            <w:tcW w:w="1951" w:type="dxa"/>
            <w:shd w:val="clear" w:color="auto" w:fill="FF6565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567" w:type="dxa"/>
            <w:shd w:val="clear" w:color="auto" w:fill="FF6565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851" w:type="dxa"/>
            <w:shd w:val="clear" w:color="auto" w:fill="FF6565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567" w:type="dxa"/>
            <w:shd w:val="clear" w:color="auto" w:fill="FF6565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shd w:val="clear" w:color="auto" w:fill="FF6565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5" w:type="dxa"/>
            <w:shd w:val="clear" w:color="auto" w:fill="FF6565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425" w:type="dxa"/>
            <w:shd w:val="clear" w:color="auto" w:fill="FF6565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6" w:type="dxa"/>
            <w:shd w:val="clear" w:color="auto" w:fill="FF6565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4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6565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6565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5" w:type="dxa"/>
            <w:shd w:val="clear" w:color="auto" w:fill="FF6565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426" w:type="dxa"/>
            <w:shd w:val="clear" w:color="auto" w:fill="FF6565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5" w:type="dxa"/>
            <w:shd w:val="clear" w:color="auto" w:fill="FF6565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5" w:type="dxa"/>
            <w:shd w:val="clear" w:color="auto" w:fill="FF6565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FF6565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shd w:val="clear" w:color="auto" w:fill="FF6565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  <w:shd w:val="clear" w:color="auto" w:fill="FF6565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358" w:type="dxa"/>
            <w:shd w:val="clear" w:color="auto" w:fill="FF6565"/>
          </w:tcPr>
          <w:p>
            <w:pPr>
              <w:jc w:val="center"/>
              <w:textAlignment w:val="bottom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</w:tbl>
    <w:p>
      <w:pPr>
        <w:jc w:val="both"/>
      </w:pPr>
    </w:p>
    <w:p>
      <w:pPr>
        <w:ind w:firstLine="851"/>
        <w:jc w:val="both"/>
      </w:pPr>
      <w:r>
        <w:t>С целью определения уровня знаний, умений и навыков детей, уровня их подготовленности к обучению в школе воспитателем-методистом Хохловой Ю.И. в старшей группе в январе – феврале 2022 г. был осуществлен мониторинговый контроль по подготовке старших дошкольников к школе. Беседа с детьми помогла определить</w:t>
      </w:r>
    </w:p>
    <w:p>
      <w:pPr>
        <w:ind w:firstLine="851"/>
        <w:jc w:val="both"/>
      </w:pPr>
      <w:r>
        <w:rPr>
          <w:b/>
          <w:i/>
        </w:rPr>
        <w:t>Уровень  развития целевых ориентиров выпускников:</w:t>
      </w:r>
      <w:r>
        <w:t xml:space="preserve"> </w:t>
      </w:r>
    </w:p>
    <w:p>
      <w:pPr>
        <w:pStyle w:val="4"/>
        <w:numPr>
          <w:ilvl w:val="0"/>
          <w:numId w:val="1"/>
        </w:numPr>
        <w:ind w:left="426"/>
        <w:jc w:val="both"/>
      </w:pPr>
      <w:r>
        <w:t>овладели основными культурными способами деятельности, проявляют инициативу и самостоятельность в разных видах деятельности, способны выбирать себе род занятий, участников по совместной деятельности – 75%</w:t>
      </w:r>
    </w:p>
    <w:p>
      <w:pPr>
        <w:pStyle w:val="4"/>
        <w:numPr>
          <w:ilvl w:val="0"/>
          <w:numId w:val="1"/>
        </w:numPr>
        <w:ind w:left="426"/>
        <w:jc w:val="both"/>
      </w:pPr>
      <w:r>
        <w:t>обладают установкой положительного отношения к миру, к разным видам труда, другим людям и самому себе, обладают чувством собственного достоинства -74%</w:t>
      </w:r>
    </w:p>
    <w:p>
      <w:pPr>
        <w:pStyle w:val="4"/>
        <w:numPr>
          <w:ilvl w:val="0"/>
          <w:numId w:val="1"/>
        </w:numPr>
        <w:ind w:left="426"/>
        <w:jc w:val="both"/>
      </w:pPr>
      <w:r>
        <w:t>активно взаимодействуют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 – 81%;</w:t>
      </w:r>
    </w:p>
    <w:p>
      <w:pPr>
        <w:pStyle w:val="4"/>
        <w:numPr>
          <w:ilvl w:val="0"/>
          <w:numId w:val="1"/>
        </w:numPr>
        <w:ind w:left="426"/>
        <w:jc w:val="both"/>
      </w:pPr>
      <w:r>
        <w:t>обладают развитым воображением, которое реализуется в разных видах деятельности; владеют разными формами и видами игры, различает условную и реальную ситуации, умеет подчиняться разным правилам и социальным нормам – 73%;</w:t>
      </w:r>
    </w:p>
    <w:p>
      <w:pPr>
        <w:pStyle w:val="4"/>
        <w:numPr>
          <w:ilvl w:val="0"/>
          <w:numId w:val="1"/>
        </w:numPr>
        <w:ind w:left="426"/>
        <w:jc w:val="both"/>
      </w:pPr>
      <w:r>
        <w:t>достаточно хорошо владеют устной речью, могут выражать свои мысли и желания, могут использовать речь для выражения своих мыслей, чувств и желаний, построения речевого высказывания в ситуации общения, могут выделять звуки в словах, есть предпосылки грамотности – 82%;</w:t>
      </w:r>
    </w:p>
    <w:p>
      <w:pPr>
        <w:pStyle w:val="4"/>
        <w:numPr>
          <w:ilvl w:val="0"/>
          <w:numId w:val="1"/>
        </w:numPr>
        <w:ind w:left="426"/>
        <w:jc w:val="both"/>
      </w:pPr>
      <w:r>
        <w:t>развита крупная и мелкая моторика; владеют основными движениями, могут контролировать свои движения и управлять ими -93%;</w:t>
      </w:r>
    </w:p>
    <w:p>
      <w:pPr>
        <w:pStyle w:val="4"/>
        <w:numPr>
          <w:ilvl w:val="0"/>
          <w:numId w:val="1"/>
        </w:numPr>
        <w:ind w:left="426"/>
        <w:jc w:val="both"/>
      </w:pPr>
      <w:r>
        <w:t xml:space="preserve">проявляют любознательность, задают вопросы взрослым и сверстникам, интересуются причинно-следственными связями, пытаются самостоятельно придумывать объяснения явлениям природы и поступкам людей – 74%; </w:t>
      </w:r>
    </w:p>
    <w:p>
      <w:pPr>
        <w:pStyle w:val="4"/>
        <w:numPr>
          <w:ilvl w:val="0"/>
          <w:numId w:val="1"/>
        </w:numPr>
        <w:ind w:left="426"/>
        <w:jc w:val="both"/>
      </w:pPr>
      <w:r>
        <w:t>обладают начальными знаниями о себе, о природном и социальном мире, в котором они живут; знакомы с произведениями детской литературы, обладают элементарными представлениями из области живой природы, естествознания, математики, истории и т.п.; способны к принятию собственных решений, опираясь на свои знания и умения в различных видах деятельности – 77%.</w:t>
      </w:r>
    </w:p>
    <w:p>
      <w:pPr>
        <w:ind w:firstLine="851"/>
        <w:jc w:val="both"/>
      </w:pPr>
      <w:r>
        <w:t xml:space="preserve">Дети </w:t>
      </w:r>
      <w:r>
        <w:rPr>
          <w:lang w:val="ru-RU"/>
        </w:rPr>
        <w:t>умеют</w:t>
      </w:r>
      <w:r>
        <w:t xml:space="preserve"> работать на занятиях в одном темпе, точно выполнять указания воспитателя, работать самостоятельно, не мешая товарищам, оценивать свою работу и работу других с точки зрения соответствия ее требованиям воспитателя. По результатам тестирования  было определено, что уровень знаний детей соответствует требованиям программы на данный отчетный период. Психолого-педагогические тесты свидетельствуют, что 82% выпускников готовы к обучению в школе. 28% детей старшей группы имеют высокий уровень развития, 54% детей имеют средний уровень развития и 18% низкий (это дети, которые часто не посещали ДОУ в течение учебного </w:t>
      </w:r>
      <w:r>
        <w:rPr>
          <w:lang w:val="ru-RU"/>
        </w:rPr>
        <w:t>полу</w:t>
      </w:r>
      <w:r>
        <w:t>года по определенным обстоятельствам).  </w:t>
      </w:r>
    </w:p>
    <w:p>
      <w:pPr>
        <w:ind w:firstLine="851"/>
        <w:jc w:val="both"/>
        <w:rPr>
          <w:color w:val="006600"/>
        </w:rPr>
      </w:pPr>
      <w:r>
        <w:rPr>
          <w:b/>
          <w:color w:val="006600"/>
        </w:rPr>
        <w:t>ВЫВОД:</w:t>
      </w:r>
      <w:r>
        <w:rPr>
          <w:color w:val="006600"/>
        </w:rPr>
        <w:t xml:space="preserve">  </w:t>
      </w:r>
    </w:p>
    <w:p>
      <w:pPr>
        <w:ind w:firstLine="851"/>
        <w:jc w:val="both"/>
      </w:pPr>
      <w:r>
        <w:t>- в дошкольном учреждении большее количество детей</w:t>
      </w:r>
      <w:r>
        <w:rPr>
          <w:rFonts w:hint="default"/>
          <w:lang w:val="ru-RU"/>
        </w:rPr>
        <w:t xml:space="preserve"> за первое полугодие</w:t>
      </w:r>
      <w:r>
        <w:t xml:space="preserve"> имеют достаточно сформированный уровень  знаний, согласно Типовой образовательной программе дошкольного образования «Растим личность»;</w:t>
      </w:r>
    </w:p>
    <w:p>
      <w:pPr>
        <w:ind w:firstLine="851"/>
        <w:jc w:val="both"/>
      </w:pPr>
      <w:r>
        <w:t>- учебно-воспитательная работа с детьми проводится на достаточном уровне.</w:t>
      </w:r>
    </w:p>
    <w:p>
      <w:pPr>
        <w:ind w:firstLine="851"/>
        <w:jc w:val="both"/>
      </w:pPr>
      <w:r>
        <w:t>- требуют улучшения показатели усвоения детьми образовательных областей «Физическое развитие», «Познавательное развитие», «Социально-коммуникативное развитие».</w:t>
      </w:r>
    </w:p>
    <w:p>
      <w:pPr>
        <w:ind w:firstLine="851"/>
        <w:jc w:val="both"/>
      </w:pPr>
      <w:r>
        <w:t>У  83%  детей старшего дошкольного возраста сформированы  предпосылки к учебной деятельности на этапе январского мониторинга.  С   целью преодоления выявленных недостатков в работе по выполнению требований программы развития старших дошкольников педагогам, методической и психологической службам в 202</w:t>
      </w:r>
      <w:r>
        <w:rPr>
          <w:rFonts w:hint="default"/>
          <w:lang w:val="ru-RU"/>
        </w:rPr>
        <w:t>3</w:t>
      </w:r>
      <w:r>
        <w:t>-202</w:t>
      </w:r>
      <w:r>
        <w:rPr>
          <w:rFonts w:hint="default"/>
          <w:lang w:val="ru-RU"/>
        </w:rPr>
        <w:t>4</w:t>
      </w:r>
      <w:r>
        <w:t xml:space="preserve"> учебном году необходимо будет усилить внимание к развитию интеллекта, мелкой моторики, обеспечению эмоционального благополучия старших дошкольников. </w:t>
      </w:r>
    </w:p>
    <w:p>
      <w:pPr>
        <w:ind w:firstLine="851"/>
        <w:jc w:val="both"/>
      </w:pPr>
      <w:r>
        <w:rPr>
          <w:b/>
          <w:i/>
          <w:color w:val="006600"/>
        </w:rPr>
        <w:t>Рекомендации:</w:t>
      </w:r>
      <w:r>
        <w:rPr>
          <w:color w:val="006600"/>
        </w:rPr>
        <w:t xml:space="preserve"> </w:t>
      </w:r>
      <w:r>
        <w:t>в  дальнейшей работе педагогам, психологической   и методической службам необходимо вести свою работу по следующим направлениям:</w:t>
      </w:r>
    </w:p>
    <w:p>
      <w:pPr>
        <w:pStyle w:val="4"/>
        <w:numPr>
          <w:ilvl w:val="0"/>
          <w:numId w:val="2"/>
        </w:numPr>
        <w:tabs>
          <w:tab w:val="left" w:pos="0"/>
          <w:tab w:val="left" w:pos="480"/>
        </w:tabs>
        <w:ind w:hanging="2133"/>
        <w:jc w:val="both"/>
      </w:pPr>
      <w:r>
        <w:t>Формирование  у детей стойкой мотивации на ведение здорового образа жизни;</w:t>
      </w:r>
    </w:p>
    <w:p>
      <w:pPr>
        <w:pStyle w:val="4"/>
        <w:numPr>
          <w:ilvl w:val="0"/>
          <w:numId w:val="2"/>
        </w:numPr>
        <w:tabs>
          <w:tab w:val="left" w:pos="0"/>
          <w:tab w:val="left" w:pos="480"/>
        </w:tabs>
        <w:ind w:hanging="2133"/>
        <w:jc w:val="both"/>
      </w:pPr>
      <w:r>
        <w:t>Развитие познавательной и речевой  компетентности;</w:t>
      </w:r>
    </w:p>
    <w:p>
      <w:pPr>
        <w:pStyle w:val="4"/>
        <w:numPr>
          <w:ilvl w:val="0"/>
          <w:numId w:val="2"/>
        </w:numPr>
        <w:tabs>
          <w:tab w:val="left" w:pos="0"/>
          <w:tab w:val="left" w:pos="480"/>
        </w:tabs>
        <w:ind w:left="567" w:hanging="567"/>
        <w:jc w:val="both"/>
      </w:pPr>
      <w:r>
        <w:t>Создание  психологического комфорта для детей через превентивную консультативно-просветительскую  работу с педагогами и родителями;</w:t>
      </w:r>
    </w:p>
    <w:p>
      <w:pPr>
        <w:pStyle w:val="4"/>
        <w:numPr>
          <w:ilvl w:val="0"/>
          <w:numId w:val="2"/>
        </w:numPr>
        <w:tabs>
          <w:tab w:val="left" w:pos="0"/>
          <w:tab w:val="left" w:pos="480"/>
        </w:tabs>
        <w:ind w:left="567" w:hanging="567"/>
        <w:jc w:val="both"/>
      </w:pPr>
      <w:r>
        <w:t>Активизация деятельности  педагогов по вопросам физического развития у дошкольников через использование активных форм работы;</w:t>
      </w:r>
    </w:p>
    <w:p>
      <w:pPr>
        <w:pStyle w:val="4"/>
        <w:numPr>
          <w:ilvl w:val="0"/>
          <w:numId w:val="2"/>
        </w:numPr>
        <w:tabs>
          <w:tab w:val="left" w:pos="0"/>
          <w:tab w:val="left" w:pos="480"/>
        </w:tabs>
        <w:ind w:left="567" w:hanging="567"/>
        <w:jc w:val="both"/>
      </w:pPr>
      <w:r>
        <w:t xml:space="preserve">Организация  активной разъяснительной работы с родителями детей старшего дошкольного возраста по формированию у детей школьной готовности, подготовки детей старшего дошкольного возраста к систематическому обучению в школе; </w:t>
      </w:r>
    </w:p>
    <w:p>
      <w:pPr>
        <w:pStyle w:val="4"/>
        <w:numPr>
          <w:ilvl w:val="0"/>
          <w:numId w:val="2"/>
        </w:numPr>
        <w:tabs>
          <w:tab w:val="left" w:pos="0"/>
          <w:tab w:val="left" w:pos="480"/>
        </w:tabs>
        <w:ind w:left="567" w:hanging="567"/>
        <w:jc w:val="both"/>
      </w:pPr>
      <w:r>
        <w:t>Углубление организационно-методической работы по согласованию деятельности с работой психологической службы учреждения;</w:t>
      </w:r>
    </w:p>
    <w:p>
      <w:pPr>
        <w:pStyle w:val="4"/>
        <w:numPr>
          <w:ilvl w:val="0"/>
          <w:numId w:val="2"/>
        </w:numPr>
        <w:tabs>
          <w:tab w:val="left" w:pos="0"/>
          <w:tab w:val="left" w:pos="480"/>
        </w:tabs>
        <w:ind w:left="567" w:hanging="567"/>
        <w:jc w:val="both"/>
      </w:pPr>
      <w:r>
        <w:t>Введение в практику работы с педагогами современных педагогических технологий, форм и методов работы с детьми;</w:t>
      </w:r>
    </w:p>
    <w:p/>
    <w:sectPr>
      <w:pgSz w:w="11906" w:h="16838"/>
      <w:pgMar w:top="440" w:right="506" w:bottom="798" w:left="10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1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numPicBullet w:numPicBulletId="0">
    <w:pict>
      <v:shape id="0" type="#_x0000_t75" style="width:12px;height:12px" o:bullet="t">
        <v:imagedata r:id="rId1" o:title=""/>
      </v:shape>
    </w:pict>
  </w:numPicBullet>
  <w:abstractNum w:abstractNumId="0">
    <w:nsid w:val="1AFA31AB"/>
    <w:multiLevelType w:val="multilevel"/>
    <w:tmpl w:val="1AFA31AB"/>
    <w:lvl w:ilvl="0" w:tentative="0">
      <w:start w:val="1"/>
      <w:numFmt w:val="bullet"/>
      <w:lvlText w:val=""/>
      <w:lvlPicBulletId w:val="0"/>
      <w:lvlJc w:val="left"/>
      <w:pPr>
        <w:ind w:left="720" w:hanging="360"/>
      </w:pPr>
      <w:rPr>
        <w:rFonts w:hint="default" w:ascii="Symbol" w:hAnsi="Symbol"/>
        <w:color w:val="7E16D4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70F23518"/>
    <w:multiLevelType w:val="multilevel"/>
    <w:tmpl w:val="70F23518"/>
    <w:lvl w:ilvl="0" w:tentative="0">
      <w:start w:val="1"/>
      <w:numFmt w:val="bullet"/>
      <w:lvlText w:val=""/>
      <w:lvlJc w:val="left"/>
      <w:pPr>
        <w:ind w:left="2133" w:hanging="360"/>
      </w:pPr>
      <w:rPr>
        <w:rFonts w:hint="default" w:ascii="Wingdings" w:hAnsi="Wingdings"/>
        <w:color w:val="006600"/>
      </w:rPr>
    </w:lvl>
    <w:lvl w:ilvl="1" w:tentative="0">
      <w:start w:val="1"/>
      <w:numFmt w:val="bullet"/>
      <w:lvlText w:val="o"/>
      <w:lvlJc w:val="left"/>
      <w:pPr>
        <w:ind w:left="285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57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429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501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73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645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717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893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D631D0"/>
    <w:rsid w:val="38D6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92166400395603"/>
          <c:y val="0"/>
          <c:w val="0.413919319867625"/>
          <c:h val="0.80672289722062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познавательное развитие</c:v>
                </c:pt>
              </c:strCache>
            </c:strRef>
          </c:tx>
          <c:spPr>
            <a:solidFill>
              <a:srgbClr val="00B0F0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Sheet1!$B$1:$B$1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Sheet1!$B$2:$B$2</c:f>
              <c:numCache>
                <c:formatCode>General</c:formatCode>
                <c:ptCount val="1"/>
                <c:pt idx="0">
                  <c:v>76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физическое развитие</c:v>
                </c:pt>
              </c:strCache>
            </c:strRef>
          </c:tx>
          <c:spPr>
            <a:solidFill>
              <a:srgbClr val="FF0000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Sheet1!$B$1:$B$1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Sheet1!$B$3:$B$3</c:f>
              <c:numCache>
                <c:formatCode>General</c:formatCode>
                <c:ptCount val="1"/>
                <c:pt idx="0">
                  <c:v>88.2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речевое развитие</c:v>
                </c:pt>
              </c:strCache>
            </c:strRef>
          </c:tx>
          <c:spPr>
            <a:solidFill>
              <a:srgbClr val="00B050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Sheet1!$B$1:$B$1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Sheet1!$B$4:$B$4</c:f>
              <c:numCache>
                <c:formatCode>General</c:formatCode>
                <c:ptCount val="1"/>
                <c:pt idx="0">
                  <c:v>66.9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социально - коммуникативное развитие</c:v>
                </c:pt>
              </c:strCache>
            </c:strRef>
          </c:tx>
          <c:spPr>
            <a:solidFill>
              <a:srgbClr val="FFFF00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Sheet1!$B$1:$B$1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Sheet1!$B$5:$B$5</c:f>
              <c:numCache>
                <c:formatCode>General</c:formatCode>
                <c:ptCount val="1"/>
                <c:pt idx="0">
                  <c:v>65</c:v>
                </c:pt>
              </c:numCache>
            </c:numRef>
          </c:val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художественно - эстетическое развитие</c:v>
                </c:pt>
              </c:strCache>
            </c:strRef>
          </c:tx>
          <c:spPr>
            <a:solidFill>
              <a:srgbClr val="FF00FF"/>
            </a:solidFill>
            <a:ln w="12697">
              <a:solidFill>
                <a:srgbClr val="000000"/>
              </a:solidFill>
              <a:prstDash val="solid"/>
            </a:ln>
          </c:spPr>
          <c:invertIfNegative val="0"/>
          <c:dLbls>
            <c:delete val="1"/>
          </c:dLbls>
          <c:cat>
            <c:strRef>
              <c:f>Sheet1!$B$1:$B$1</c:f>
              <c:strCache>
                <c:ptCount val="1"/>
                <c:pt idx="0">
                  <c:v>2022-2023</c:v>
                </c:pt>
              </c:strCache>
            </c:strRef>
          </c:cat>
          <c:val>
            <c:numRef>
              <c:f>Sheet1!$B$6:$B$6</c:f>
              <c:numCache>
                <c:formatCode>General</c:formatCode>
                <c:ptCount val="1"/>
                <c:pt idx="0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5821824"/>
        <c:axId val="75823360"/>
      </c:barChart>
      <c:catAx>
        <c:axId val="758218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low"/>
        <c:spPr>
          <a:ln w="3174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ru-RU" sz="1175" b="1" i="0" u="none" strike="noStrike" kern="1200" baseline="0">
                <a:solidFill>
                  <a:srgbClr val="000000"/>
                </a:solidFill>
                <a:latin typeface="Calibri" panose="020F0502020204030204"/>
                <a:ea typeface="Calibri" panose="020F0502020204030204"/>
                <a:cs typeface="Calibri" panose="020F0502020204030204"/>
              </a:defRPr>
            </a:pPr>
          </a:p>
        </c:txPr>
        <c:crossAx val="75823360"/>
        <c:crosses val="autoZero"/>
        <c:auto val="1"/>
        <c:lblAlgn val="ctr"/>
        <c:lblOffset val="100"/>
        <c:tickLblSkip val="1"/>
        <c:noMultiLvlLbl val="0"/>
      </c:catAx>
      <c:valAx>
        <c:axId val="75823360"/>
        <c:scaling>
          <c:orientation val="minMax"/>
        </c:scaling>
        <c:delete val="0"/>
        <c:axPos val="b"/>
        <c:majorGridlines>
          <c:spPr>
            <a:ln w="3174" cap="flat" cmpd="sng" algn="ctr">
              <a:solidFill>
                <a:srgbClr val="000000"/>
              </a:solidFill>
              <a:prstDash val="solid"/>
              <a:round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4" cap="flat" cmpd="sng" algn="ctr">
            <a:solidFill>
              <a:srgbClr val="000000"/>
            </a:solidFill>
            <a:prstDash val="solid"/>
            <a:round/>
          </a:ln>
        </c:spPr>
        <c:txPr>
          <a:bodyPr rot="0" spcFirstLastPara="0" vertOverflow="ellipsis" vert="horz" wrap="square" anchor="ctr" anchorCtr="1"/>
          <a:lstStyle/>
          <a:p>
            <a:pPr>
              <a:defRPr lang="ru-RU" sz="1175" b="1" i="0" u="none" strike="noStrike" kern="1200" baseline="0">
                <a:solidFill>
                  <a:srgbClr val="000000"/>
                </a:solidFill>
                <a:latin typeface="Calibri" panose="020F0502020204030204"/>
                <a:ea typeface="Calibri" panose="020F0502020204030204"/>
                <a:cs typeface="Calibri" panose="020F0502020204030204"/>
              </a:defRPr>
            </a:pPr>
          </a:p>
        </c:txPr>
        <c:crossAx val="75821824"/>
        <c:crosses val="autoZero"/>
        <c:crossBetween val="between"/>
      </c:valAx>
      <c:spPr>
        <a:solidFill>
          <a:srgbClr val="FFEEC5"/>
        </a:solidFill>
        <a:ln w="12700">
          <a:solidFill>
            <a:srgbClr val="808080"/>
          </a:solidFill>
          <a:prstDash val="solid"/>
        </a:ln>
        <a:effectLst/>
      </c:spPr>
    </c:plotArea>
    <c:legend>
      <c:legendPos val="r"/>
      <c:layout>
        <c:manualLayout>
          <c:xMode val="edge"/>
          <c:yMode val="edge"/>
          <c:x val="0.647072549408442"/>
          <c:y val="0"/>
          <c:w val="0.349510013693941"/>
          <c:h val="1"/>
        </c:manualLayout>
      </c:layout>
      <c:overlay val="0"/>
      <c:spPr>
        <a:solidFill>
          <a:srgbClr val="FEE6F5"/>
        </a:solidFill>
        <a:ln w="3174">
          <a:solidFill>
            <a:srgbClr val="000000"/>
          </a:solidFill>
          <a:prstDash val="solid"/>
        </a:ln>
      </c:spPr>
      <c:txPr>
        <a:bodyPr rot="0" spcFirstLastPara="0" vertOverflow="ellipsis" vert="horz" wrap="square" anchor="ctr" anchorCtr="1"/>
        <a:lstStyle/>
        <a:p>
          <a:pPr>
            <a:defRPr lang="ru-RU" sz="800" b="1" i="0" u="none" strike="noStrike" kern="1200" baseline="0">
              <a:solidFill>
                <a:srgbClr val="000000"/>
              </a:solidFill>
              <a:latin typeface="Calibri" panose="020F0502020204030204"/>
              <a:ea typeface="Calibri" panose="020F0502020204030204"/>
              <a:cs typeface="Calibri" panose="020F0502020204030204"/>
            </a:defRPr>
          </a:pPr>
        </a:p>
      </c:txPr>
    </c:legend>
    <c:plotVisOnly val="1"/>
    <c:dispBlanksAs val="gap"/>
    <c:showDLblsOverMax val="0"/>
  </c:chart>
  <c:spPr>
    <a:solidFill>
      <a:srgbClr val="FEE6F5"/>
    </a:solidFill>
    <a:ln w="9525" cap="flat" cmpd="sng" algn="ctr">
      <a:noFill/>
      <a:prstDash val="solid"/>
      <a:round/>
    </a:ln>
  </c:spPr>
  <c:txPr>
    <a:bodyPr/>
    <a:lstStyle/>
    <a:p>
      <a:pPr>
        <a:defRPr lang="ru-RU" sz="1175" b="1" i="0" u="none" strike="noStrike" baseline="0">
          <a:solidFill>
            <a:srgbClr val="000000"/>
          </a:solidFill>
          <a:latin typeface="Calibri" panose="020F0502020204030204"/>
          <a:ea typeface="Calibri" panose="020F0502020204030204"/>
          <a:cs typeface="Calibri" panose="020F0502020204030204"/>
        </a:defRPr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2024-01-20T10:57:00Z</dcterms:created>
  <dc:creator>PC</dc:creator>
  <cp:lastModifiedBy>PC</cp:lastModifiedBy>
  <dcterms:modified xsi:type="dcterms:W3CDTF">2024-01-20T10:59:26Z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6F44B7F4525645218108FF5A01C609AD_11</vt:lpwstr>
  </property>
</Properties>
</file>